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6858AD" w:rsidRDefault="00C02528" w:rsidP="007B68D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02528">
        <w:rPr>
          <w:rFonts w:cstheme="minorHAnsi"/>
          <w:b/>
          <w:sz w:val="24"/>
          <w:szCs w:val="24"/>
        </w:rPr>
        <w:t>„Sukcesywna dostawa znaków drogowych pionowych i urządzeń bezpieczeństwa ruchu drogowego dla Przedsiębiorstwa Gospodarki Komunalnej Sp. z o.o. w Krasnymstawie w 2018 r.”</w:t>
      </w:r>
    </w:p>
    <w:p w:rsidR="00C02528" w:rsidRDefault="00C02528" w:rsidP="007B68D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lastRenderedPageBreak/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CF360F" w:rsidRPr="00CA4AEF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60"/>
        <w:gridCol w:w="1240"/>
        <w:gridCol w:w="1300"/>
        <w:gridCol w:w="1540"/>
      </w:tblGrid>
      <w:tr w:rsidR="00CA4AEF" w:rsidRPr="00CA4AEF" w:rsidTr="00E8510C">
        <w:trPr>
          <w:trHeight w:val="9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Rodzaj znaku / urządzenia </w:t>
            </w:r>
            <w:proofErr w:type="spellStart"/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brd</w:t>
            </w:r>
            <w:proofErr w:type="spellEnd"/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 xml:space="preserve">Znaki drogowe pionowe z grupy znaków "średnie" </w:t>
            </w: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- folia II generacji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[szt.]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jedn. [zł/</w:t>
            </w:r>
            <w:proofErr w:type="spellStart"/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szt</w:t>
            </w:r>
            <w:proofErr w:type="spellEnd"/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/]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netto [zł]</w:t>
            </w:r>
          </w:p>
        </w:tc>
      </w:tr>
      <w:tr w:rsidR="00CA4AEF" w:rsidRPr="00CA4AEF" w:rsidTr="00E8510C">
        <w:trPr>
          <w:trHeight w:val="255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I. Znaki ostrzegawcze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 "niebezpieczny zakręt w prawo"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A-2 "niebezpieczny zakręt w lewo"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A-7 "ustąp pierwszeństwa przejazdu"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A-11 "nierówna droga"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A-11a "próg zwalniający"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A-12a "zwężenie jezdni obustronne"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A-12b "zwężenie jezdni prawostronne"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A-12c "zwężenie jezdni lewostronne"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A-14 "roboty na drodze"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II. Znaki zakazu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 "zakaz ruchu w obu kierunkach"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 "zakaz wjazdu"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 "zakaz wjazdu pojazdów silnikowych z wyłączeniem motocykli jednośladowych"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B-5 "zakaz wjazdu samochodów ciężarowych"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B-16 "zakaz wjazdu pojazdów o wysokości ponad ... m"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B-17 "zakaz wjazdu pojazdów o długości ponad ... m"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B-18 "zakaz wjazdu pojazdów o rzeczywistej masie całkowitej ponad ... Ton"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B-20 "stop"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B-21 "zakaz skrętu w lewo"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B-22 "zakaz skrętu w prawo"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B-33 "ograniczenie prędkości"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B-35 "zakaz postoju"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B-36 "zakaz zatrzymywania się"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B-40 "koniec strefy ograniczonego postoju"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B-43 "strefa ograniczonej prędkości"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B-44 "koniec strefy ograniczonej prędkości"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III. Znaki nakazu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C-1 "nakaz jazdy w prawo (skręcanie przed znakiem)"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C-2 "nakaz jazdy w prawo (skręcanie za znaki</w:t>
            </w:r>
            <w:bookmarkStart w:id="0" w:name="_GoBack"/>
            <w:bookmarkEnd w:id="0"/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C-3 "nakaz jazdy w lewo (skręcanie przed znakiem)"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C-4 "nakaz jazdy w lewo (skręcanie za znakiem)"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C-5 "nakaz jazdy prosto przez skrzyżowanie"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C-9 "nakaz jazdy z prawej strony znaku"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C-10 "nakaz jazdy z lewej strony znaku"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IV. Znaki informacyjne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D-1 "droga z pierwszeństwem"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D-2 "koniec drogi z pierwszeństwem przejazdu"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D-3 "droga jednokierunkowa"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D-4a "droga bez przejazdu"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D-4b "droga bez przejazdu występująca za skrzyżowaniem z prawej strony"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D-4c "droga bez przejazdu występująca za skrzyżowaniem </w:t>
            </w: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z lewej strony"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D-6 "miejsce przejścia dla pieszych"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D-18 "parking"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D-18a "parking - miejsce zastrzeżone"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D-48 "zmiana pierwszeństwa"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D-D-42 "obszar zabudowany"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D-D-43 "koniec obszaru zabudowanego"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V. Tabliczki do znaków drogowych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T-3a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T-6a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T-6b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T-25a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T-25b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VI. Znaki drogowe dodatkowe (przed przejazdami kolejowymi)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9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VII. Elementy bezpieczeństwa ruchu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U-14a - bariera energochłonna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U-2 - słupek krawędziowy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60.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U-3a - tablica prowadząca pojedyncza w prawo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U-3b - tablica prowadząca pojedyncza w lewo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U-3c - tablica prowadząca ciągła w prawo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U-3d - tablica prowadząca ciągła w lewo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U-4a - tablica rozdzielająca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U-16 - próg zwalniający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U-17 - próg podrzutowy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U-11a - urządzenie bramowe z elementami uchylnymi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U-20a - zapora drogowa pojedyncza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U-23c - pachołek drogowy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U-18a -lustro drogowe okrągłe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U-18b - lustro drogowe prostokątne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CA4AEF" w:rsidRPr="00CA4AEF" w:rsidTr="00E8510C">
        <w:trPr>
          <w:trHeight w:val="543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CA4AEF" w:rsidRDefault="00CA4AEF" w:rsidP="00865370">
      <w:pPr>
        <w:spacing w:after="0" w:line="240" w:lineRule="auto"/>
      </w:pPr>
    </w:p>
    <w:p w:rsidR="00CA4AEF" w:rsidRDefault="00CA4AE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1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1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B68DB"/>
    <w:rsid w:val="007F524D"/>
    <w:rsid w:val="00865370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38</cp:revision>
  <dcterms:created xsi:type="dcterms:W3CDTF">2017-04-10T06:29:00Z</dcterms:created>
  <dcterms:modified xsi:type="dcterms:W3CDTF">2018-02-14T07:17:00Z</dcterms:modified>
</cp:coreProperties>
</file>